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11D" w:rsidRDefault="00B6611D" w:rsidP="00B6611D">
      <w:pPr>
        <w:rPr>
          <w:rFonts w:ascii="Garamond" w:hAnsi="Garamond"/>
          <w:sz w:val="20"/>
          <w:szCs w:val="20"/>
        </w:rPr>
      </w:pPr>
      <w:bookmarkStart w:id="0" w:name="_GoBack"/>
      <w:bookmarkEnd w:id="0"/>
      <w:r w:rsidRPr="009E5EAF">
        <w:rPr>
          <w:rFonts w:ascii="Garamond" w:hAnsi="Garamond"/>
          <w:sz w:val="20"/>
          <w:szCs w:val="20"/>
        </w:rPr>
        <w:t>Social Science (EGE) Writing Rubric</w:t>
      </w:r>
      <w:r w:rsidR="00B31852">
        <w:rPr>
          <w:rFonts w:ascii="Garamond" w:hAnsi="Garamond"/>
          <w:sz w:val="20"/>
          <w:szCs w:val="20"/>
        </w:rPr>
        <w:t xml:space="preserve"> </w:t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</w:r>
      <w:r w:rsidR="00B31852">
        <w:rPr>
          <w:rFonts w:ascii="Garamond" w:hAnsi="Garamond"/>
          <w:sz w:val="20"/>
          <w:szCs w:val="20"/>
        </w:rPr>
        <w:tab/>
        <w:t>(revised 6/11/15)</w:t>
      </w:r>
    </w:p>
    <w:p w:rsidR="00B31852" w:rsidRPr="00B31852" w:rsidRDefault="00B31852" w:rsidP="00B6611D">
      <w:pPr>
        <w:rPr>
          <w:rFonts w:ascii="Garamond" w:hAnsi="Garamond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2610"/>
        <w:gridCol w:w="2790"/>
        <w:gridCol w:w="2610"/>
        <w:gridCol w:w="2656"/>
      </w:tblGrid>
      <w:tr w:rsidR="009E5EAF" w:rsidRPr="009E5EAF" w:rsidTr="00B31852">
        <w:trPr>
          <w:trHeight w:val="381"/>
        </w:trPr>
        <w:tc>
          <w:tcPr>
            <w:tcW w:w="3685" w:type="dxa"/>
            <w:tcBorders>
              <w:right w:val="single" w:sz="18" w:space="0" w:color="auto"/>
            </w:tcBorders>
            <w:shd w:val="clear" w:color="auto" w:fill="BFBFBF" w:themeFill="background1" w:themeFillShade="BF"/>
          </w:tcPr>
          <w:p w:rsidR="007C288F" w:rsidRPr="009E5EAF" w:rsidRDefault="007C288F" w:rsidP="00B6611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9E5EAF">
              <w:rPr>
                <w:rFonts w:ascii="Garamond" w:hAnsi="Garamond"/>
                <w:b/>
                <w:sz w:val="20"/>
                <w:szCs w:val="20"/>
              </w:rPr>
              <w:t>Rubric Category</w:t>
            </w:r>
          </w:p>
        </w:tc>
        <w:tc>
          <w:tcPr>
            <w:tcW w:w="2610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7C288F" w:rsidRPr="009E5EAF" w:rsidRDefault="007C288F" w:rsidP="00B6611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9E5EAF">
              <w:rPr>
                <w:rFonts w:ascii="Garamond" w:hAnsi="Garamond"/>
                <w:b/>
                <w:sz w:val="20"/>
                <w:szCs w:val="20"/>
              </w:rPr>
              <w:t>Advanced (4)</w:t>
            </w:r>
          </w:p>
        </w:tc>
        <w:tc>
          <w:tcPr>
            <w:tcW w:w="2790" w:type="dxa"/>
            <w:shd w:val="clear" w:color="auto" w:fill="BFBFBF" w:themeFill="background1" w:themeFillShade="BF"/>
          </w:tcPr>
          <w:p w:rsidR="007C288F" w:rsidRPr="009E5EAF" w:rsidRDefault="007C288F" w:rsidP="00B6611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9E5EAF">
              <w:rPr>
                <w:rFonts w:ascii="Garamond" w:hAnsi="Garamond"/>
                <w:b/>
                <w:sz w:val="20"/>
                <w:szCs w:val="20"/>
              </w:rPr>
              <w:t>Meets Standards (3)</w:t>
            </w:r>
          </w:p>
        </w:tc>
        <w:tc>
          <w:tcPr>
            <w:tcW w:w="2610" w:type="dxa"/>
            <w:shd w:val="clear" w:color="auto" w:fill="BFBFBF" w:themeFill="background1" w:themeFillShade="BF"/>
          </w:tcPr>
          <w:p w:rsidR="007C288F" w:rsidRPr="009E5EAF" w:rsidRDefault="007C288F" w:rsidP="00B6611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9E5EAF">
              <w:rPr>
                <w:rFonts w:ascii="Garamond" w:hAnsi="Garamond"/>
                <w:b/>
                <w:sz w:val="20"/>
                <w:szCs w:val="20"/>
              </w:rPr>
              <w:t>Approaching Standards (2)</w:t>
            </w:r>
          </w:p>
        </w:tc>
        <w:tc>
          <w:tcPr>
            <w:tcW w:w="2656" w:type="dxa"/>
            <w:shd w:val="clear" w:color="auto" w:fill="BFBFBF" w:themeFill="background1" w:themeFillShade="BF"/>
          </w:tcPr>
          <w:p w:rsidR="007C288F" w:rsidRPr="009E5EAF" w:rsidRDefault="007C288F" w:rsidP="00B6611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9E5EAF">
              <w:rPr>
                <w:rFonts w:ascii="Garamond" w:hAnsi="Garamond"/>
                <w:b/>
                <w:sz w:val="20"/>
                <w:szCs w:val="20"/>
              </w:rPr>
              <w:t>Does not meet Standards (1)</w:t>
            </w:r>
          </w:p>
        </w:tc>
      </w:tr>
      <w:tr w:rsidR="007C288F" w:rsidRPr="009E5EAF" w:rsidTr="00B31852">
        <w:trPr>
          <w:trHeight w:val="1313"/>
        </w:trPr>
        <w:tc>
          <w:tcPr>
            <w:tcW w:w="3685" w:type="dxa"/>
            <w:tcBorders>
              <w:right w:val="single" w:sz="18" w:space="0" w:color="auto"/>
            </w:tcBorders>
          </w:tcPr>
          <w:p w:rsidR="007C288F" w:rsidRPr="009E5EAF" w:rsidRDefault="007C288F" w:rsidP="00B6611D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color w:val="3B3B3A"/>
                <w:sz w:val="20"/>
                <w:szCs w:val="20"/>
                <w:shd w:val="clear" w:color="auto" w:fill="FFFFFF"/>
              </w:rPr>
              <w:t>Introduce</w:t>
            </w:r>
            <w:r w:rsidR="001D496D" w:rsidRPr="009E5EAF">
              <w:rPr>
                <w:rFonts w:ascii="Garamond" w:hAnsi="Garamond"/>
                <w:color w:val="3B3B3A"/>
                <w:sz w:val="20"/>
                <w:szCs w:val="20"/>
                <w:shd w:val="clear" w:color="auto" w:fill="FFFFFF"/>
              </w:rPr>
              <w:t>s</w:t>
            </w:r>
            <w:r w:rsidRPr="009E5EAF">
              <w:rPr>
                <w:rFonts w:ascii="Garamond" w:hAnsi="Garamond"/>
                <w:color w:val="3B3B3A"/>
                <w:sz w:val="20"/>
                <w:szCs w:val="20"/>
                <w:shd w:val="clear" w:color="auto" w:fill="FFFFFF"/>
              </w:rPr>
              <w:t xml:space="preserve"> precise claim(s), distinguish the claim(s) from alternate or opposing claims, and create an organization that establishes clear relationships among the claim(s), counterclaims, reasons, and evidence.</w:t>
            </w:r>
          </w:p>
          <w:p w:rsidR="007C288F" w:rsidRPr="009E5EAF" w:rsidRDefault="007C288F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 xml:space="preserve">(CCSS ELA-Literacy.WHST.9-10.1.A) </w:t>
            </w:r>
            <w:r w:rsidRPr="009E5EAF">
              <w:rPr>
                <w:rFonts w:ascii="Garamond" w:hAnsi="Garamond"/>
                <w:i/>
                <w:sz w:val="20"/>
                <w:szCs w:val="20"/>
              </w:rPr>
              <w:t>Claim Statement/Points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:rsidR="007C288F" w:rsidRPr="009E5EAF" w:rsidRDefault="00694171" w:rsidP="00861FF1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Addresses the prompt by introduc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>ing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points in a concise, sophisticated claim (thesis) statement.</w:t>
            </w:r>
          </w:p>
        </w:tc>
        <w:tc>
          <w:tcPr>
            <w:tcW w:w="2790" w:type="dxa"/>
          </w:tcPr>
          <w:p w:rsidR="007C288F" w:rsidRPr="009E5EAF" w:rsidRDefault="000A7143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Address</w:t>
            </w:r>
            <w:r w:rsidR="00694171" w:rsidRPr="009E5EAF">
              <w:rPr>
                <w:rFonts w:ascii="Garamond" w:hAnsi="Garamond"/>
                <w:sz w:val="20"/>
                <w:szCs w:val="20"/>
              </w:rPr>
              <w:t>es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the prompt</w:t>
            </w:r>
            <w:r w:rsidR="00694171" w:rsidRPr="009E5EAF">
              <w:rPr>
                <w:rFonts w:ascii="Garamond" w:hAnsi="Garamond"/>
                <w:sz w:val="20"/>
                <w:szCs w:val="20"/>
              </w:rPr>
              <w:t xml:space="preserve"> by introducing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694171" w:rsidRPr="009E5EAF">
              <w:rPr>
                <w:rFonts w:ascii="Garamond" w:hAnsi="Garamond"/>
                <w:sz w:val="20"/>
                <w:szCs w:val="20"/>
              </w:rPr>
              <w:t>points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in a clear claim (thesis) statement</w:t>
            </w:r>
            <w:r w:rsidR="00694171" w:rsidRPr="009E5EAF"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465B89" w:rsidRPr="009E5EAF" w:rsidRDefault="00465B89" w:rsidP="00861FF1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Partially addresses the prompt.</w:t>
            </w:r>
          </w:p>
          <w:p w:rsidR="007C288F" w:rsidRPr="009E5EAF" w:rsidRDefault="00465B89" w:rsidP="00861FF1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Does not introduce points in a clear claim (thesis) statement.</w:t>
            </w:r>
          </w:p>
        </w:tc>
        <w:tc>
          <w:tcPr>
            <w:tcW w:w="2656" w:type="dxa"/>
          </w:tcPr>
          <w:p w:rsidR="007C288F" w:rsidRPr="009E5EAF" w:rsidRDefault="00465B89" w:rsidP="00465B8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Does not address the prompt.</w:t>
            </w:r>
          </w:p>
          <w:p w:rsidR="00465B89" w:rsidRPr="009E5EAF" w:rsidRDefault="00465B89" w:rsidP="00465B8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Missing claim and points.</w:t>
            </w:r>
          </w:p>
        </w:tc>
      </w:tr>
      <w:tr w:rsidR="00576509" w:rsidRPr="009E5EAF" w:rsidTr="00B31852">
        <w:trPr>
          <w:trHeight w:val="1250"/>
        </w:trPr>
        <w:tc>
          <w:tcPr>
            <w:tcW w:w="3685" w:type="dxa"/>
            <w:tcBorders>
              <w:right w:val="single" w:sz="18" w:space="0" w:color="auto"/>
            </w:tcBorders>
          </w:tcPr>
          <w:p w:rsidR="00576509" w:rsidRPr="009E5EAF" w:rsidRDefault="00576509" w:rsidP="00576509">
            <w:pPr>
              <w:rPr>
                <w:rFonts w:ascii="Garamond" w:hAnsi="Garamond"/>
                <w:i/>
                <w:color w:val="333333"/>
                <w:sz w:val="20"/>
                <w:szCs w:val="20"/>
              </w:rPr>
            </w:pPr>
            <w:r w:rsidRPr="009E5EAF">
              <w:rPr>
                <w:rFonts w:ascii="Garamond" w:hAnsi="Garamond"/>
                <w:color w:val="333333"/>
                <w:sz w:val="20"/>
                <w:szCs w:val="20"/>
              </w:rPr>
              <w:t>Develop</w:t>
            </w:r>
            <w:r w:rsidR="001D496D" w:rsidRPr="009E5EAF">
              <w:rPr>
                <w:rFonts w:ascii="Garamond" w:hAnsi="Garamond"/>
                <w:color w:val="333333"/>
                <w:sz w:val="20"/>
                <w:szCs w:val="20"/>
              </w:rPr>
              <w:t>s</w:t>
            </w:r>
            <w:r w:rsidRPr="009E5EAF">
              <w:rPr>
                <w:rFonts w:ascii="Garamond" w:hAnsi="Garamond"/>
                <w:color w:val="333333"/>
                <w:sz w:val="20"/>
                <w:szCs w:val="20"/>
              </w:rPr>
              <w:t xml:space="preserve"> the topic with well-chosen, relevant, and sufficient facts, extended definitions, concrete details, quotations, or other information and examples appropriate to the audience’s knowledge of the topic. (</w:t>
            </w:r>
            <w:r w:rsidRPr="009E5EAF">
              <w:rPr>
                <w:rFonts w:ascii="Garamond" w:hAnsi="Garamond"/>
                <w:bCs/>
                <w:color w:val="333333"/>
                <w:sz w:val="20"/>
                <w:szCs w:val="20"/>
              </w:rPr>
              <w:t xml:space="preserve">CCSS.ELA-Literacy.WHST.9-10.2b) </w:t>
            </w:r>
            <w:r w:rsidRPr="009E5EAF">
              <w:rPr>
                <w:rFonts w:ascii="Garamond" w:hAnsi="Garamond"/>
                <w:bCs/>
                <w:i/>
                <w:color w:val="333333"/>
                <w:sz w:val="20"/>
                <w:szCs w:val="20"/>
              </w:rPr>
              <w:t>Evidence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:rsidR="00576509" w:rsidRPr="009E5EAF" w:rsidRDefault="00694171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Provides specific, relevant, and accurate evidence to support claim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>(</w:t>
            </w:r>
            <w:r w:rsidRPr="009E5EAF">
              <w:rPr>
                <w:rFonts w:ascii="Garamond" w:hAnsi="Garamond"/>
                <w:sz w:val="20"/>
                <w:szCs w:val="20"/>
              </w:rPr>
              <w:t>s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>)</w:t>
            </w:r>
            <w:r w:rsidR="005620E5" w:rsidRPr="009E5EAF">
              <w:rPr>
                <w:rFonts w:ascii="Garamond" w:hAnsi="Garamond"/>
                <w:sz w:val="20"/>
                <w:szCs w:val="20"/>
              </w:rPr>
              <w:t>.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5620E5" w:rsidRPr="009E5EAF">
              <w:rPr>
                <w:rFonts w:ascii="Garamond" w:hAnsi="Garamond"/>
                <w:sz w:val="20"/>
                <w:szCs w:val="20"/>
              </w:rPr>
              <w:t>(I</w:t>
            </w:r>
            <w:r w:rsidRPr="009E5EAF">
              <w:rPr>
                <w:rFonts w:ascii="Garamond" w:hAnsi="Garamond"/>
                <w:sz w:val="20"/>
                <w:szCs w:val="20"/>
              </w:rPr>
              <w:t>ntegrat</w:t>
            </w:r>
            <w:r w:rsidR="005620E5" w:rsidRPr="009E5EAF">
              <w:rPr>
                <w:rFonts w:ascii="Garamond" w:hAnsi="Garamond"/>
                <w:sz w:val="20"/>
                <w:szCs w:val="20"/>
              </w:rPr>
              <w:t xml:space="preserve">es and 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>refers to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credible sources when</w:t>
            </w:r>
            <w:r w:rsidR="005620E5" w:rsidRPr="009E5EAF">
              <w:rPr>
                <w:rFonts w:ascii="Garamond" w:hAnsi="Garamond"/>
                <w:sz w:val="20"/>
                <w:szCs w:val="20"/>
              </w:rPr>
              <w:t xml:space="preserve"> appropriate.)</w:t>
            </w:r>
          </w:p>
        </w:tc>
        <w:tc>
          <w:tcPr>
            <w:tcW w:w="2790" w:type="dxa"/>
          </w:tcPr>
          <w:p w:rsidR="00576509" w:rsidRPr="009E5EAF" w:rsidRDefault="005620E5" w:rsidP="00465B8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Provides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 xml:space="preserve"> accurate evidence to support claim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>(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>s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>)</w:t>
            </w:r>
            <w:r w:rsidRPr="009E5EAF">
              <w:rPr>
                <w:rFonts w:ascii="Garamond" w:hAnsi="Garamond"/>
                <w:sz w:val="20"/>
                <w:szCs w:val="20"/>
              </w:rPr>
              <w:t>.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(Integrates and </w:t>
            </w:r>
            <w:r w:rsidR="00465B89" w:rsidRPr="009E5EAF">
              <w:rPr>
                <w:rFonts w:ascii="Garamond" w:hAnsi="Garamond"/>
                <w:sz w:val="20"/>
                <w:szCs w:val="20"/>
              </w:rPr>
              <w:t xml:space="preserve">refers to </w:t>
            </w:r>
            <w:r w:rsidRPr="009E5EAF">
              <w:rPr>
                <w:rFonts w:ascii="Garamond" w:hAnsi="Garamond"/>
                <w:sz w:val="20"/>
                <w:szCs w:val="20"/>
              </w:rPr>
              <w:t>credible sources when appropriate.)</w:t>
            </w:r>
          </w:p>
        </w:tc>
        <w:tc>
          <w:tcPr>
            <w:tcW w:w="2610" w:type="dxa"/>
          </w:tcPr>
          <w:p w:rsidR="00465B89" w:rsidRPr="009E5EAF" w:rsidRDefault="00465B89" w:rsidP="00465B8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 xml:space="preserve">Provides minimal and/or inaccurate evidence to support claim(s). </w:t>
            </w:r>
          </w:p>
          <w:p w:rsidR="00576509" w:rsidRPr="009E5EAF" w:rsidRDefault="00465B89" w:rsidP="00465B8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(Does not integrate or refer to credible sources when appropriate.)</w:t>
            </w:r>
          </w:p>
        </w:tc>
        <w:tc>
          <w:tcPr>
            <w:tcW w:w="2656" w:type="dxa"/>
          </w:tcPr>
          <w:p w:rsidR="00576509" w:rsidRPr="009E5EAF" w:rsidRDefault="007341AA" w:rsidP="007341AA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Does not provide evidence to support claim(s).</w:t>
            </w:r>
          </w:p>
        </w:tc>
      </w:tr>
      <w:tr w:rsidR="00576509" w:rsidRPr="009E5EAF" w:rsidTr="00B31852">
        <w:trPr>
          <w:trHeight w:val="890"/>
        </w:trPr>
        <w:tc>
          <w:tcPr>
            <w:tcW w:w="3685" w:type="dxa"/>
            <w:tcBorders>
              <w:right w:val="single" w:sz="18" w:space="0" w:color="auto"/>
            </w:tcBorders>
          </w:tcPr>
          <w:p w:rsidR="00576509" w:rsidRPr="009E5EAF" w:rsidRDefault="00576509" w:rsidP="00576509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Applies ideas, concepts, and information to make important connections and distinctions. (</w:t>
            </w:r>
            <w:r w:rsidRPr="009E5EAF">
              <w:rPr>
                <w:rFonts w:ascii="Garamond" w:hAnsi="Garamond"/>
                <w:bCs/>
                <w:color w:val="333333"/>
                <w:sz w:val="20"/>
                <w:szCs w:val="20"/>
              </w:rPr>
              <w:t>CCSS.ELA-Literacy.WHST.9-10.2a)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9E5EAF">
              <w:rPr>
                <w:rFonts w:ascii="Garamond" w:hAnsi="Garamond"/>
                <w:i/>
                <w:sz w:val="20"/>
                <w:szCs w:val="20"/>
              </w:rPr>
              <w:t>Analysis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:rsidR="00576509" w:rsidRPr="009E5EAF" w:rsidRDefault="005620E5" w:rsidP="005620E5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Uses insightful reasoning to connect evidence with claim(s) to extend understanding beyond the obvious.</w:t>
            </w:r>
          </w:p>
        </w:tc>
        <w:tc>
          <w:tcPr>
            <w:tcW w:w="2790" w:type="dxa"/>
          </w:tcPr>
          <w:p w:rsidR="00576509" w:rsidRPr="009E5EAF" w:rsidRDefault="000A7143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Uses appropriate reasoning to connect evidence with claim</w:t>
            </w:r>
            <w:r w:rsidR="007341AA" w:rsidRPr="009E5EAF">
              <w:rPr>
                <w:rFonts w:ascii="Garamond" w:hAnsi="Garamond"/>
                <w:sz w:val="20"/>
                <w:szCs w:val="20"/>
              </w:rPr>
              <w:t>(</w:t>
            </w:r>
            <w:r w:rsidRPr="009E5EAF">
              <w:rPr>
                <w:rFonts w:ascii="Garamond" w:hAnsi="Garamond"/>
                <w:sz w:val="20"/>
                <w:szCs w:val="20"/>
              </w:rPr>
              <w:t>s</w:t>
            </w:r>
            <w:r w:rsidR="007341AA" w:rsidRPr="009E5EAF">
              <w:rPr>
                <w:rFonts w:ascii="Garamond" w:hAnsi="Garamond"/>
                <w:sz w:val="20"/>
                <w:szCs w:val="20"/>
              </w:rPr>
              <w:t>)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to demonstrate understanding of topic.</w:t>
            </w:r>
          </w:p>
        </w:tc>
        <w:tc>
          <w:tcPr>
            <w:tcW w:w="2610" w:type="dxa"/>
          </w:tcPr>
          <w:p w:rsidR="00576509" w:rsidRPr="009E5EAF" w:rsidRDefault="007341AA" w:rsidP="007341AA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Uses limited reasoning to connect evidence with claim(s) and to demonstrate understanding of topic.</w:t>
            </w:r>
          </w:p>
        </w:tc>
        <w:tc>
          <w:tcPr>
            <w:tcW w:w="2656" w:type="dxa"/>
          </w:tcPr>
          <w:p w:rsidR="00576509" w:rsidRPr="009E5EAF" w:rsidRDefault="007341AA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Lacks reasoning to connect evidence with claim(s) and demonstrates no understanding of topic.</w:t>
            </w:r>
          </w:p>
        </w:tc>
      </w:tr>
      <w:tr w:rsidR="00576509" w:rsidRPr="009E5EAF" w:rsidTr="00B31852">
        <w:trPr>
          <w:trHeight w:val="890"/>
        </w:trPr>
        <w:tc>
          <w:tcPr>
            <w:tcW w:w="3685" w:type="dxa"/>
            <w:tcBorders>
              <w:right w:val="single" w:sz="18" w:space="0" w:color="auto"/>
            </w:tcBorders>
          </w:tcPr>
          <w:p w:rsidR="00576509" w:rsidRPr="000070BC" w:rsidRDefault="00576509" w:rsidP="000070BC">
            <w:pPr>
              <w:pStyle w:val="BodyText2"/>
              <w:rPr>
                <w:rFonts w:ascii="Garamond" w:hAnsi="Garamond"/>
                <w:sz w:val="20"/>
              </w:rPr>
            </w:pPr>
            <w:r w:rsidRPr="009E5EAF">
              <w:rPr>
                <w:rFonts w:ascii="Garamond" w:hAnsi="Garamond"/>
                <w:sz w:val="20"/>
              </w:rPr>
              <w:t>Provide</w:t>
            </w:r>
            <w:r w:rsidR="001D496D" w:rsidRPr="009E5EAF">
              <w:rPr>
                <w:rFonts w:ascii="Garamond" w:hAnsi="Garamond"/>
                <w:sz w:val="20"/>
              </w:rPr>
              <w:t>s</w:t>
            </w:r>
            <w:r w:rsidRPr="009E5EAF">
              <w:rPr>
                <w:rFonts w:ascii="Garamond" w:hAnsi="Garamond"/>
                <w:sz w:val="20"/>
              </w:rPr>
              <w:t xml:space="preserve"> a concluding</w:t>
            </w:r>
            <w:r w:rsidRPr="009E5EAF">
              <w:rPr>
                <w:rFonts w:ascii="Garamond" w:hAnsi="Garamond"/>
                <w:b/>
                <w:sz w:val="20"/>
              </w:rPr>
              <w:t xml:space="preserve"> </w:t>
            </w:r>
            <w:r w:rsidRPr="009E5EAF">
              <w:rPr>
                <w:rFonts w:ascii="Garamond" w:hAnsi="Garamond"/>
                <w:sz w:val="20"/>
              </w:rPr>
              <w:t>statement or section that follows from or supports the argument presented.</w:t>
            </w:r>
            <w:r w:rsidR="000070BC">
              <w:rPr>
                <w:rFonts w:ascii="Garamond" w:hAnsi="Garamond"/>
                <w:sz w:val="20"/>
              </w:rPr>
              <w:t xml:space="preserve"> </w:t>
            </w:r>
            <w:r w:rsidRPr="009E5EAF">
              <w:rPr>
                <w:rFonts w:ascii="Garamond" w:hAnsi="Garamond"/>
                <w:sz w:val="20"/>
              </w:rPr>
              <w:t>(CCSS ELA Literacy.</w:t>
            </w:r>
            <w:r w:rsidR="000070BC">
              <w:rPr>
                <w:rFonts w:ascii="Garamond" w:hAnsi="Garamond"/>
                <w:sz w:val="20"/>
              </w:rPr>
              <w:t xml:space="preserve"> </w:t>
            </w:r>
            <w:r w:rsidRPr="009E5EAF">
              <w:rPr>
                <w:rFonts w:ascii="Garamond" w:hAnsi="Garamond"/>
                <w:sz w:val="20"/>
              </w:rPr>
              <w:t xml:space="preserve">WHST.9.10.1.E) </w:t>
            </w:r>
            <w:r w:rsidRPr="009E5EAF">
              <w:rPr>
                <w:rFonts w:ascii="Garamond" w:hAnsi="Garamond"/>
                <w:i/>
                <w:sz w:val="20"/>
              </w:rPr>
              <w:t>Conclusion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:rsidR="00576509" w:rsidRPr="009E5EAF" w:rsidRDefault="00BB166F" w:rsidP="001D496D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 xml:space="preserve">Provides a </w:t>
            </w:r>
            <w:r w:rsidR="001D496D" w:rsidRPr="009E5EAF">
              <w:rPr>
                <w:rFonts w:ascii="Garamond" w:hAnsi="Garamond"/>
                <w:sz w:val="20"/>
                <w:szCs w:val="20"/>
              </w:rPr>
              <w:t>meaningful, reflective, and concise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conclusion that follows from and supports claim(s).</w:t>
            </w:r>
          </w:p>
        </w:tc>
        <w:tc>
          <w:tcPr>
            <w:tcW w:w="2790" w:type="dxa"/>
          </w:tcPr>
          <w:p w:rsidR="00576509" w:rsidRPr="009E5EAF" w:rsidRDefault="00BB166F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 xml:space="preserve">Provides a </w:t>
            </w:r>
            <w:r w:rsidR="001D496D" w:rsidRPr="009E5EAF">
              <w:rPr>
                <w:rFonts w:ascii="Garamond" w:hAnsi="Garamond"/>
                <w:sz w:val="20"/>
                <w:szCs w:val="20"/>
              </w:rPr>
              <w:t xml:space="preserve">clear 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 xml:space="preserve">conclusion that </w:t>
            </w:r>
            <w:r w:rsidRPr="009E5EAF">
              <w:rPr>
                <w:rFonts w:ascii="Garamond" w:hAnsi="Garamond"/>
                <w:sz w:val="20"/>
                <w:szCs w:val="20"/>
              </w:rPr>
              <w:t>follows from and supports claim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>(s)</w:t>
            </w:r>
            <w:r w:rsidRPr="009E5EAF"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576509" w:rsidRPr="009E5EAF" w:rsidRDefault="00BB166F" w:rsidP="00BB166F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 xml:space="preserve">Conclusion </w:t>
            </w:r>
            <w:r w:rsidR="007341AA" w:rsidRPr="009E5EAF">
              <w:rPr>
                <w:rFonts w:ascii="Garamond" w:hAnsi="Garamond"/>
                <w:sz w:val="20"/>
                <w:szCs w:val="20"/>
              </w:rPr>
              <w:t>may be unclear and/or</w:t>
            </w:r>
            <w:r w:rsidRPr="009E5EAF">
              <w:rPr>
                <w:rFonts w:ascii="Garamond" w:hAnsi="Garamond"/>
                <w:sz w:val="20"/>
                <w:szCs w:val="20"/>
              </w:rPr>
              <w:t xml:space="preserve"> does not follow or support claim(s).</w:t>
            </w:r>
          </w:p>
        </w:tc>
        <w:tc>
          <w:tcPr>
            <w:tcW w:w="2656" w:type="dxa"/>
          </w:tcPr>
          <w:p w:rsidR="00576509" w:rsidRPr="009E5EAF" w:rsidRDefault="007341AA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Does not provide a conclusion.</w:t>
            </w:r>
          </w:p>
        </w:tc>
      </w:tr>
      <w:tr w:rsidR="00B93381" w:rsidRPr="009E5EAF" w:rsidTr="00B31852">
        <w:trPr>
          <w:trHeight w:val="1075"/>
        </w:trPr>
        <w:tc>
          <w:tcPr>
            <w:tcW w:w="3685" w:type="dxa"/>
            <w:tcBorders>
              <w:right w:val="single" w:sz="18" w:space="0" w:color="auto"/>
            </w:tcBorders>
          </w:tcPr>
          <w:p w:rsidR="00B93381" w:rsidRPr="009E5EAF" w:rsidRDefault="00B93381" w:rsidP="00B93381">
            <w:pPr>
              <w:pStyle w:val="BodyText2"/>
              <w:rPr>
                <w:rFonts w:ascii="Garamond" w:hAnsi="Garamond"/>
                <w:sz w:val="20"/>
              </w:rPr>
            </w:pPr>
            <w:r w:rsidRPr="009E5EAF">
              <w:rPr>
                <w:rFonts w:ascii="Garamond" w:hAnsi="Garamond"/>
                <w:sz w:val="20"/>
              </w:rPr>
              <w:t>Use</w:t>
            </w:r>
            <w:r w:rsidR="001D496D" w:rsidRPr="009E5EAF">
              <w:rPr>
                <w:rFonts w:ascii="Garamond" w:hAnsi="Garamond"/>
                <w:sz w:val="20"/>
              </w:rPr>
              <w:t>s</w:t>
            </w:r>
            <w:r w:rsidRPr="009E5EAF">
              <w:rPr>
                <w:rFonts w:ascii="Garamond" w:hAnsi="Garamond"/>
                <w:sz w:val="20"/>
              </w:rPr>
              <w:t xml:space="preserve"> words, phrases, and clauses to link the major sections of the text, create cohesion, and clarify the relationship between claim(s) and reasons, between reasons and evidence, and between claim(s) and counterclaims.</w:t>
            </w:r>
          </w:p>
          <w:p w:rsidR="00B93381" w:rsidRPr="009E5EAF" w:rsidRDefault="00B93381" w:rsidP="00B93381">
            <w:pPr>
              <w:pStyle w:val="BodyText2"/>
              <w:rPr>
                <w:rFonts w:ascii="Garamond" w:hAnsi="Garamond"/>
                <w:i/>
                <w:sz w:val="20"/>
              </w:rPr>
            </w:pPr>
            <w:r w:rsidRPr="009E5EAF">
              <w:rPr>
                <w:rFonts w:ascii="Garamond" w:hAnsi="Garamond"/>
                <w:sz w:val="20"/>
              </w:rPr>
              <w:t xml:space="preserve">(CCSS ELA-Literacy.WHST.9.10.1.C) </w:t>
            </w:r>
            <w:r w:rsidRPr="009E5EAF">
              <w:rPr>
                <w:rFonts w:ascii="Garamond" w:hAnsi="Garamond"/>
                <w:i/>
                <w:sz w:val="20"/>
              </w:rPr>
              <w:t>Structure and Organization</w:t>
            </w:r>
          </w:p>
          <w:p w:rsidR="00465B89" w:rsidRPr="009E5EAF" w:rsidRDefault="00465B89" w:rsidP="00B93381">
            <w:pPr>
              <w:pStyle w:val="BodyText2"/>
              <w:rPr>
                <w:rFonts w:ascii="Garamond" w:hAnsi="Garamond"/>
                <w:sz w:val="20"/>
              </w:rPr>
            </w:pP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:rsidR="00B93381" w:rsidRPr="009E5EAF" w:rsidRDefault="00E63E76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Develops claims (with relevant body paragraphs if appropriate) and creates organization by linking words or phrases in a logical progression of ideas from beginning to end in a sophisticated way.</w:t>
            </w:r>
          </w:p>
        </w:tc>
        <w:tc>
          <w:tcPr>
            <w:tcW w:w="2790" w:type="dxa"/>
          </w:tcPr>
          <w:p w:rsidR="00B93381" w:rsidRPr="009E5EAF" w:rsidRDefault="00E63E76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Develops claims (with relevant body paragraphs if appropriate) and creates organization by linking words or phrases in a logical progression of ideas from beginning to end.</w:t>
            </w:r>
          </w:p>
        </w:tc>
        <w:tc>
          <w:tcPr>
            <w:tcW w:w="2610" w:type="dxa"/>
          </w:tcPr>
          <w:p w:rsidR="00B93381" w:rsidRPr="009E5EAF" w:rsidRDefault="007341AA" w:rsidP="007341AA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Inadequately develops claims and/or lacks organization.</w:t>
            </w:r>
          </w:p>
        </w:tc>
        <w:tc>
          <w:tcPr>
            <w:tcW w:w="2656" w:type="dxa"/>
          </w:tcPr>
          <w:p w:rsidR="00B93381" w:rsidRPr="009E5EAF" w:rsidRDefault="007341AA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Includes little or no organization of ideas.</w:t>
            </w:r>
          </w:p>
        </w:tc>
      </w:tr>
      <w:tr w:rsidR="00576509" w:rsidRPr="009E5EAF" w:rsidTr="00B31852">
        <w:trPr>
          <w:trHeight w:val="1061"/>
        </w:trPr>
        <w:tc>
          <w:tcPr>
            <w:tcW w:w="3685" w:type="dxa"/>
            <w:tcBorders>
              <w:right w:val="single" w:sz="18" w:space="0" w:color="auto"/>
            </w:tcBorders>
          </w:tcPr>
          <w:p w:rsidR="00576509" w:rsidRPr="009E5EAF" w:rsidRDefault="00576509" w:rsidP="00576509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9E5EAF">
              <w:rPr>
                <w:rFonts w:ascii="Garamond" w:hAnsi="Garamond"/>
                <w:color w:val="333333"/>
                <w:sz w:val="20"/>
                <w:szCs w:val="20"/>
              </w:rPr>
              <w:t>Establish</w:t>
            </w:r>
            <w:r w:rsidR="001D496D" w:rsidRPr="009E5EAF">
              <w:rPr>
                <w:rFonts w:ascii="Garamond" w:hAnsi="Garamond"/>
                <w:color w:val="333333"/>
                <w:sz w:val="20"/>
                <w:szCs w:val="20"/>
              </w:rPr>
              <w:t>es</w:t>
            </w:r>
            <w:r w:rsidRPr="009E5EAF">
              <w:rPr>
                <w:rFonts w:ascii="Garamond" w:hAnsi="Garamond"/>
                <w:color w:val="333333"/>
                <w:sz w:val="20"/>
                <w:szCs w:val="20"/>
              </w:rPr>
              <w:t xml:space="preserve"> and maintain</w:t>
            </w:r>
            <w:r w:rsidR="001D496D" w:rsidRPr="009E5EAF">
              <w:rPr>
                <w:rFonts w:ascii="Garamond" w:hAnsi="Garamond"/>
                <w:color w:val="333333"/>
                <w:sz w:val="20"/>
                <w:szCs w:val="20"/>
              </w:rPr>
              <w:t>s</w:t>
            </w:r>
            <w:r w:rsidRPr="009E5EAF">
              <w:rPr>
                <w:rFonts w:ascii="Garamond" w:hAnsi="Garamond"/>
                <w:color w:val="333333"/>
                <w:sz w:val="20"/>
                <w:szCs w:val="20"/>
              </w:rPr>
              <w:t xml:space="preserve"> a formal style and objective tone while attending to the norms and conventions of the discipline in which they are writing. (</w:t>
            </w:r>
            <w:r w:rsidRPr="009E5EAF">
              <w:rPr>
                <w:rFonts w:ascii="Garamond" w:hAnsi="Garamond"/>
                <w:bCs/>
                <w:color w:val="333333"/>
                <w:sz w:val="20"/>
                <w:szCs w:val="20"/>
              </w:rPr>
              <w:t xml:space="preserve">CCSS.ELA-Literacy.WHST.9-10.2e) </w:t>
            </w:r>
            <w:r w:rsidRPr="009E5EAF">
              <w:rPr>
                <w:rFonts w:ascii="Garamond" w:hAnsi="Garamond"/>
                <w:bCs/>
                <w:i/>
                <w:color w:val="333333"/>
                <w:sz w:val="20"/>
                <w:szCs w:val="20"/>
              </w:rPr>
              <w:t>Style/format</w:t>
            </w:r>
          </w:p>
        </w:tc>
        <w:tc>
          <w:tcPr>
            <w:tcW w:w="2610" w:type="dxa"/>
            <w:tcBorders>
              <w:left w:val="single" w:sz="18" w:space="0" w:color="auto"/>
            </w:tcBorders>
          </w:tcPr>
          <w:p w:rsidR="00576509" w:rsidRPr="009E5EAF" w:rsidRDefault="00E63E76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Skillfully uses academic and content-specific vocabulary. Follows social science norms and conventions.</w:t>
            </w:r>
          </w:p>
        </w:tc>
        <w:tc>
          <w:tcPr>
            <w:tcW w:w="2790" w:type="dxa"/>
          </w:tcPr>
          <w:p w:rsidR="00576509" w:rsidRPr="009E5EAF" w:rsidRDefault="00E63E76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U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>ses academic and c</w:t>
            </w:r>
            <w:r w:rsidRPr="009E5EAF">
              <w:rPr>
                <w:rFonts w:ascii="Garamond" w:hAnsi="Garamond"/>
                <w:sz w:val="20"/>
                <w:szCs w:val="20"/>
              </w:rPr>
              <w:t>ontent-speci</w:t>
            </w:r>
            <w:r w:rsidR="009E5EAF" w:rsidRPr="009E5EAF">
              <w:rPr>
                <w:rFonts w:ascii="Garamond" w:hAnsi="Garamond"/>
                <w:sz w:val="20"/>
                <w:szCs w:val="20"/>
              </w:rPr>
              <w:t>fic vocabulary. Mostly f</w:t>
            </w:r>
            <w:r w:rsidR="000A7143" w:rsidRPr="009E5EAF">
              <w:rPr>
                <w:rFonts w:ascii="Garamond" w:hAnsi="Garamond"/>
                <w:sz w:val="20"/>
                <w:szCs w:val="20"/>
              </w:rPr>
              <w:t xml:space="preserve">ollows social science norms and conventions. </w:t>
            </w:r>
          </w:p>
        </w:tc>
        <w:tc>
          <w:tcPr>
            <w:tcW w:w="2610" w:type="dxa"/>
          </w:tcPr>
          <w:p w:rsidR="00576509" w:rsidRPr="009E5EAF" w:rsidRDefault="009E5EAF" w:rsidP="009E5EAF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Incorrectly and/or inadequately uses</w:t>
            </w:r>
            <w:r w:rsidR="007341AA" w:rsidRPr="009E5EAF">
              <w:rPr>
                <w:rFonts w:ascii="Garamond" w:hAnsi="Garamond"/>
                <w:sz w:val="20"/>
                <w:szCs w:val="20"/>
              </w:rPr>
              <w:t xml:space="preserve"> academic and content-specific vocabulary. </w:t>
            </w:r>
            <w:r w:rsidRPr="009E5EAF">
              <w:rPr>
                <w:rFonts w:ascii="Garamond" w:hAnsi="Garamond"/>
                <w:sz w:val="20"/>
                <w:szCs w:val="20"/>
              </w:rPr>
              <w:t>Incorrect use of</w:t>
            </w:r>
            <w:r w:rsidR="007341AA" w:rsidRPr="009E5EAF">
              <w:rPr>
                <w:rFonts w:ascii="Garamond" w:hAnsi="Garamond"/>
                <w:sz w:val="20"/>
                <w:szCs w:val="20"/>
              </w:rPr>
              <w:t xml:space="preserve"> social science norms and conventions.</w:t>
            </w:r>
          </w:p>
        </w:tc>
        <w:tc>
          <w:tcPr>
            <w:tcW w:w="2656" w:type="dxa"/>
          </w:tcPr>
          <w:p w:rsidR="00576509" w:rsidRPr="009E5EAF" w:rsidRDefault="009E5EAF" w:rsidP="00576509">
            <w:pPr>
              <w:rPr>
                <w:rFonts w:ascii="Garamond" w:hAnsi="Garamond"/>
                <w:sz w:val="20"/>
                <w:szCs w:val="20"/>
              </w:rPr>
            </w:pPr>
            <w:r w:rsidRPr="009E5EAF">
              <w:rPr>
                <w:rFonts w:ascii="Garamond" w:hAnsi="Garamond"/>
                <w:sz w:val="20"/>
                <w:szCs w:val="20"/>
              </w:rPr>
              <w:t>Does not use academic and content-specific vocabulary.  Does not use social science norms and conventions.</w:t>
            </w:r>
          </w:p>
        </w:tc>
      </w:tr>
    </w:tbl>
    <w:p w:rsidR="00B31852" w:rsidRDefault="00B31852" w:rsidP="005620E5">
      <w:pPr>
        <w:rPr>
          <w:rFonts w:ascii="Garamond" w:hAnsi="Garamond"/>
          <w:sz w:val="20"/>
          <w:szCs w:val="20"/>
        </w:rPr>
      </w:pPr>
    </w:p>
    <w:p w:rsidR="00B31852" w:rsidRDefault="00B31852" w:rsidP="005620E5">
      <w:pPr>
        <w:rPr>
          <w:rFonts w:ascii="Garamond" w:hAnsi="Garamond"/>
          <w:sz w:val="20"/>
          <w:szCs w:val="20"/>
        </w:rPr>
      </w:pPr>
    </w:p>
    <w:p w:rsidR="00B31852" w:rsidRDefault="00B31852" w:rsidP="005620E5">
      <w:pPr>
        <w:rPr>
          <w:rFonts w:ascii="Garamond" w:hAnsi="Garamond"/>
          <w:sz w:val="20"/>
          <w:szCs w:val="20"/>
        </w:rPr>
      </w:pPr>
    </w:p>
    <w:p w:rsidR="00B31852" w:rsidRDefault="00B31852" w:rsidP="005620E5">
      <w:pPr>
        <w:rPr>
          <w:rFonts w:ascii="Garamond" w:hAnsi="Garamond"/>
          <w:sz w:val="20"/>
          <w:szCs w:val="20"/>
        </w:rPr>
      </w:pPr>
    </w:p>
    <w:p w:rsidR="00B31852" w:rsidRDefault="00B31852" w:rsidP="005620E5">
      <w:pPr>
        <w:rPr>
          <w:rFonts w:ascii="Garamond" w:hAnsi="Garamond"/>
          <w:sz w:val="20"/>
          <w:szCs w:val="20"/>
        </w:rPr>
      </w:pPr>
    </w:p>
    <w:p w:rsidR="00B31852" w:rsidRPr="009E5EAF" w:rsidRDefault="00B31852" w:rsidP="005620E5">
      <w:pPr>
        <w:rPr>
          <w:rFonts w:ascii="Garamond" w:hAnsi="Garamond"/>
          <w:sz w:val="20"/>
          <w:szCs w:val="20"/>
        </w:rPr>
      </w:pPr>
    </w:p>
    <w:sectPr w:rsidR="00B31852" w:rsidRPr="009E5EAF" w:rsidSect="00B31852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11D"/>
    <w:rsid w:val="000070BC"/>
    <w:rsid w:val="00094BF9"/>
    <w:rsid w:val="000A7143"/>
    <w:rsid w:val="00197266"/>
    <w:rsid w:val="001D496D"/>
    <w:rsid w:val="00465B89"/>
    <w:rsid w:val="005620E5"/>
    <w:rsid w:val="00562827"/>
    <w:rsid w:val="00576509"/>
    <w:rsid w:val="00694171"/>
    <w:rsid w:val="007341AA"/>
    <w:rsid w:val="007C288F"/>
    <w:rsid w:val="007F7EE1"/>
    <w:rsid w:val="00861FF1"/>
    <w:rsid w:val="00971CF0"/>
    <w:rsid w:val="009D740A"/>
    <w:rsid w:val="009E5EAF"/>
    <w:rsid w:val="00AD5D02"/>
    <w:rsid w:val="00B31852"/>
    <w:rsid w:val="00B6611D"/>
    <w:rsid w:val="00B86FCC"/>
    <w:rsid w:val="00B93381"/>
    <w:rsid w:val="00BB166F"/>
    <w:rsid w:val="00D735AB"/>
    <w:rsid w:val="00E63E76"/>
    <w:rsid w:val="00E7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16053-B0A3-47EE-8E59-4A202094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B6611D"/>
    <w:rPr>
      <w:rFonts w:ascii="Comic Sans MS" w:eastAsia="Times" w:hAnsi="Comic Sans MS"/>
      <w:sz w:val="16"/>
      <w:szCs w:val="20"/>
    </w:rPr>
  </w:style>
  <w:style w:type="character" w:customStyle="1" w:styleId="BodyText2Char">
    <w:name w:val="Body Text 2 Char"/>
    <w:basedOn w:val="DefaultParagraphFont"/>
    <w:link w:val="BodyText2"/>
    <w:rsid w:val="00B6611D"/>
    <w:rPr>
      <w:rFonts w:ascii="Comic Sans MS" w:eastAsia="Times" w:hAnsi="Comic Sans MS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E339D-EFA2-464F-B39D-13E1F4DB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12 Five Star Schools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Miller</dc:creator>
  <cp:keywords/>
  <dc:description/>
  <cp:lastModifiedBy>Gregory Miller</cp:lastModifiedBy>
  <cp:revision>2</cp:revision>
  <dcterms:created xsi:type="dcterms:W3CDTF">2015-07-29T13:19:00Z</dcterms:created>
  <dcterms:modified xsi:type="dcterms:W3CDTF">2015-07-29T13:19:00Z</dcterms:modified>
</cp:coreProperties>
</file>